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179</w:t>
      </w:r>
    </w:p>
    <w:p>
      <w:r>
        <w:t>Bundesgericht (BGE), 1994-05-16, DE</w:t>
      </w:r>
    </w:p>
    <w:p>
      <w:r>
        <w:rPr>
          <w:b/>
        </w:rPr>
        <w:t xml:space="preserve">Quelle: </w:t>
      </w:r>
      <w:r>
        <w:t>https://mcp.opencaselaw.ch/entscheid/bge_120 IV 179</w:t>
      </w:r>
    </w:p>
    <w:p>
      <w:r>
        <w:t>FR: ATF 120 IV 179</w:t>
      </w:r>
    </w:p>
    <w:p>
      <w:r>
        <w:t>IT: DTF 120 IV 179</w:t>
      </w:r>
    </w:p>
    <w:p>
      <w:pPr>
        <w:pStyle w:val="Heading2"/>
      </w:pPr>
      <w:r>
        <w:t>Regeste</w:t>
      </w:r>
    </w:p>
    <w:p>
      <w:r>
        <w:t>Regeste Art. 251 Ziff. 1, Art. 110 Ziff. 5 StGB; Urkundeneigenschaft eines Telefax. Das vom empfangenden Telefaxapparat angefertigte Schriftstück ist eine Urkunde, wenn das beim Absender verwendete Schriftstück, das fernkopiert wird, selber Urkundenqualität hat (E. 1c).</w:t>
      </w:r>
    </w:p>
    <w:p>
      <w:pPr>
        <w:pStyle w:val="Heading2"/>
      </w:pPr>
      <w:r>
        <w:t>Erwägungen</w:t>
      </w:r>
    </w:p>
    <w:p>
      <w:r>
        <w:rPr>
          <w:b/>
        </w:rPr>
        <w:t>E. 1</w:t>
      </w:r>
    </w:p>
    <w:p>
      <w:r>
        <w:t>a) aa) Die Vorinstanz verurteilte den Beschwerdeführer wegen Urkundenfälschung, weil er die per Fax übersandte Mitteilung vom 14. März 1991 abgeändert hatte. Sie bejaht die Urkundeneigenschaft, obwohl das Schriftstück nicht unterzeichnet und nur per Fax übermittelt wurde. Nach den Gepflogenheiten im Geschäftsverkehr, insbesondere bei derartigen Handelsgeschäften, sei die Übermittlung per Fax üblich. Der Beschwerdeführer habe die Auftragsbestätigung verfälscht, indem er die Stückpreisangaben wie auch den Preis des Gesamtauftrages nach oben korrigiert habe. bb) Der Beschwerdeführer wendet ein, das fragliche Dokument sei keine Urkunde gewesen, weshalb dessen Änderung keine Urkundenfälschung darstelle. Ausserdem seien die subjektiven Voraussetzungen der Urkundenfälschung nicht gegeben. Im übrigen handle es sich um eine straflose Nachtat zur Verschleierung des vorangegangenen Vermögensdeliktes (Veruntreuung oder Betrug). b) Gemäss Art. 251 Ziff. 1 StGB ist strafbar, wer in der Absicht, jemanden am Vermögen oder an andern Rechten zu schädigen oder sich oder einem andern einen unrechtmässigen Vorteil zu verschaffen, eine Urkunde fälscht oder verfälscht. Urkunden sind unter anderem Schriften, die bestimmt und BGE 120 IV 179 S. 181 geeignet sind, eine Tatsache von rechtlicher Bedeutung zu beweisen ( Art. 110 Ziff. 5 Abs. 1 StGB ; BGE 101 IV 278 ). c) aa) Nach der Rechtsprechung kommt auch der Fotokopie einer Urkunde Urkundenqualität zu, so dass eine Abänderung der Fotokopie eine Urkundenfälschung darstellen kann ( BGE 115 IV 51 E. 6, BGE 114 IV 26 ). Eine per Fax übersandte Mitteilung stellt der Sache nach nichts anderes dar als eine Kopie der beim Absender verbleibenden Originalmitteilung. Das Besondere an einer solchen gefaxten Mitteilung liegt einzig darin, dass die Kopie nicht wie bei der Fotokopie an Ort und Stelle hergestellt wird, sondern auf Distanz beim Empfänger der Mitteilung. Eine solche Fernkopie ist unter dem Gesichtspunkt des Urkundenstrafrechtes der Fotokopie im herkömmlichen Sinne gleichzustellen. Das vom empfangenden Telefaxapparat angefertigte Schriftstück ist somit eine Urkunde, wenn das beim Absender verwendete Schriftstück, das fernkopiert wird, selber Urkundenqualität besitzt (CHRISTIAN SCHÖNING, Telegramm und Fernschreiben im Urkundenstrafrecht, Pfaffenweiler 1985, S. 334). Das Telefax bietet die Möglichkeit, dem Mitteilungsempfänger die gegebenenfalls unterschriebene Urkunde selbst sichtbar zu machen und ihm sogleich das notwendige Beweismittel in die Hand zu geben, weshalb in der zivilrechtlichen Lehre angenommen wird, die mittels Telefax übermittelte unterschriebene Urkunde dürfe dem Brief und dem Telegramm gleichgestellt werden (SCHMIDLIN, Berner Kommentar zum Obligationenrecht, 1986, Art. 13 N. 32; SCHWENZER, in: HONSELL/VOGT/WIEGAND, Kommentar zum Schweizerischen Privatrecht, Obligationenrecht I, 1992, Art. 13 N. 14; vgl. auch BGE 112 II 326 betreffend Vertragsschluss durch Austausch von Telexmeldungen). bb) Die hier per Fax versandte Mitteilung hat offenkundig Urkundencharakter. Aus ihr ist ersichtlich, dass die I. SA unter Bezugnahme auf vorangegangene Telefongespräche der Firma S. bestätigte, von ihr gemäss ihrer Offerte je fünfzigtausend Fernseher und Videorecorder zu einem bestimmten Preis zu kaufen. Das Fehlen der Unterschrift ändert an der Urkundeneigenschaft nichts. Denn der Aussteller ist hier offensichtlich erkennbar: Der Name "C. T." ist sowohl im Ingress wie auch am Ende der Mitteilung neben bzw. unter der absendenden Firma aufgeführt. Der Beschwerdeführer hat deshalb dadurch, dass er in der bei ihm eingegangenen Telefaxmitteilung die Stückpreisangaben und den Preis des Gesamtauftrages abänderte, objektiv den Tatbestand der Urkundenfälschung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